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/>
        <w:drawing>
          <wp:inline distB="0" distT="0" distL="0" distR="0">
            <wp:extent cx="3352800" cy="752475"/>
            <wp:effectExtent b="0" l="0" r="0" t="0"/>
            <wp:docPr descr="https://ci4.googleusercontent.com/proxy/NuOtlg4dlgyu-RQui_6Xo8Td39W1Sq-RDsdPv8bvqk1c3WmHliAFym4HTUYmKlixlEm-9aynrcl5jnuN7oxwuc6o66qjX69WW968nvVmYmo=s0-d-e1-ft#https://storage.googleapis.com/public-ressources/pa.cotte.png" id="1" name="image1.png"/>
            <a:graphic>
              <a:graphicData uri="http://schemas.openxmlformats.org/drawingml/2006/picture">
                <pic:pic>
                  <pic:nvPicPr>
                    <pic:cNvPr descr="https://ci4.googleusercontent.com/proxy/NuOtlg4dlgyu-RQui_6Xo8Td39W1Sq-RDsdPv8bvqk1c3WmHliAFym4HTUYmKlixlEm-9aynrcl5jnuN7oxwuc6o66qjX69WW968nvVmYmo=s0-d-e1-ft#https://storage.googleapis.com/public-ressources/pa.cotte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752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0"/>
          <w:szCs w:val="30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Name</w:t>
      </w:r>
      <w:r w:rsidDel="00000000" w:rsidR="00000000" w:rsidRPr="00000000">
        <w:rPr>
          <w:u w:val="single"/>
          <w:rtl w:val="0"/>
        </w:rPr>
        <w:t xml:space="preserve">: </w:t>
      </w:r>
      <w:r w:rsidDel="00000000" w:rsidR="00000000" w:rsidRPr="00000000">
        <w:rPr>
          <w:sz w:val="30"/>
          <w:szCs w:val="30"/>
          <w:rtl w:val="0"/>
        </w:rPr>
        <w:t xml:space="preserve"> How to transfer user data to a new computer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Author:</w:t>
      </w:r>
      <w:r w:rsidDel="00000000" w:rsidR="00000000" w:rsidRPr="00000000">
        <w:rPr>
          <w:sz w:val="24"/>
          <w:szCs w:val="24"/>
          <w:rtl w:val="0"/>
        </w:rPr>
        <w:t xml:space="preserve"> Benoit Bideaux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Version:</w:t>
      </w:r>
      <w:r w:rsidDel="00000000" w:rsidR="00000000" w:rsidRPr="00000000">
        <w:rPr>
          <w:sz w:val="24"/>
          <w:szCs w:val="24"/>
          <w:rtl w:val="0"/>
        </w:rPr>
        <w:t xml:space="preserve"> 1.0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Date of modification:</w:t>
      </w:r>
      <w:r w:rsidDel="00000000" w:rsidR="00000000" w:rsidRPr="00000000">
        <w:rPr>
          <w:sz w:val="24"/>
          <w:szCs w:val="24"/>
          <w:rtl w:val="0"/>
        </w:rPr>
        <w:t xml:space="preserve">  17/05/2023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Préparer la nouvelle machine. S’assurer que l’on peut pinguer l’ordinateur de l’utilisateur et sa nouvelle machine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  <w:t xml:space="preserve">SI pas de ping. Checker que les 2 ordinateurs sont dans les OUs Workstation de l’AD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  <w:t xml:space="preserve">Sinon vérifier que la règle ICMPv4 existe sur les ordinateurs.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  <w:t xml:space="preserve">Paramètres avancé du Firewall Windows: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1066800" cy="28575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  <w:t xml:space="preserve">Sinon  créer une nouvelle règle si besoin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  <w:t xml:space="preserve">Personnalisée - TOus les programmes - Service ICMPv4 - Toutes IPS - Autoriser connexion - Domaine uniquement - Entrer le nom ICMPv4 puis Terminer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Récupérer les 2 PCs côte à côte.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  <w:t xml:space="preserve">Depuis le PC de l’utilisateur (PC source), faire Windows, Exécuter et utiliser la commande suivante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  <w:t xml:space="preserve">\\ComputerName\c$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  <w:t xml:space="preserve">Example: \\LAPTOP-LP004\c$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  <w:t xml:space="preserve">Example: \\DESKTOP-PA002\c$</w:t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  <w:t xml:space="preserve">Entrer un login et mot de passe admin de la machine pour accéder et parcourir le disque sur la nouvelle machine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Copier les données présentes sur le Bureau du PC source de l’utilisateur vers la nouvelle machine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Copier les données présentes dans le répertoire Téléchargements du PC source de l’utilisateur vers la nouvelle machine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Vérifier avec l’utilisateur si il y a des répertoires sur le disque C à copier sur le nouvel ordinateur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